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4BDEB" w14:textId="77777777" w:rsidR="00DE0BD1" w:rsidRPr="00DE0BD1" w:rsidRDefault="00DE0BD1" w:rsidP="00DE0BD1">
      <w:pPr>
        <w:spacing w:before="100" w:beforeAutospacing="1" w:after="150" w:line="264" w:lineRule="atLeast"/>
        <w:outlineLvl w:val="0"/>
        <w:rPr>
          <w:rFonts w:ascii="Arial" w:eastAsia="Times New Roman" w:hAnsi="Arial" w:cs="Arial"/>
          <w:b/>
          <w:bCs/>
          <w:color w:val="EB2026"/>
          <w:kern w:val="36"/>
          <w:sz w:val="48"/>
          <w:szCs w:val="48"/>
        </w:rPr>
      </w:pPr>
      <w:r w:rsidRPr="00DE0BD1">
        <w:rPr>
          <w:rFonts w:ascii="Arial" w:eastAsia="Times New Roman" w:hAnsi="Arial" w:cs="Arial"/>
          <w:b/>
          <w:bCs/>
          <w:color w:val="EB2026"/>
          <w:kern w:val="36"/>
          <w:sz w:val="48"/>
          <w:szCs w:val="48"/>
        </w:rPr>
        <w:t>'Millionaires' Taxes' Will Set Back State Recoveries</w:t>
      </w:r>
    </w:p>
    <w:p w14:paraId="2586BF02" w14:textId="77777777" w:rsidR="00DE0BD1" w:rsidRPr="00DE0BD1" w:rsidRDefault="00DE0BD1" w:rsidP="00DE0BD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hyperlink r:id="rId4" w:history="1">
        <w:r w:rsidRPr="00DE0BD1">
          <w:rPr>
            <w:rFonts w:ascii="Arial" w:eastAsia="Times New Roman" w:hAnsi="Arial" w:cs="Arial"/>
            <w:color w:val="919191"/>
            <w:sz w:val="19"/>
            <w:szCs w:val="19"/>
            <w:u w:val="single"/>
          </w:rPr>
          <w:t>Jim Stergios</w:t>
        </w:r>
      </w:hyperlink>
      <w:r w:rsidRPr="00DE0BD1">
        <w:rPr>
          <w:rFonts w:ascii="Arial" w:eastAsia="Times New Roman" w:hAnsi="Arial" w:cs="Arial"/>
          <w:color w:val="000000"/>
          <w:sz w:val="19"/>
          <w:szCs w:val="19"/>
        </w:rPr>
        <w:t> &amp; </w:t>
      </w:r>
      <w:hyperlink r:id="rId5" w:history="1">
        <w:r w:rsidRPr="00DE0BD1">
          <w:rPr>
            <w:rFonts w:ascii="Arial" w:eastAsia="Times New Roman" w:hAnsi="Arial" w:cs="Arial"/>
            <w:color w:val="919191"/>
            <w:sz w:val="19"/>
            <w:szCs w:val="19"/>
            <w:u w:val="single"/>
          </w:rPr>
          <w:t>Charles Chieppo</w:t>
        </w:r>
      </w:hyperlink>
      <w:r w:rsidRPr="00DE0BD1">
        <w:rPr>
          <w:rFonts w:ascii="Arial" w:eastAsia="Times New Roman" w:hAnsi="Arial" w:cs="Arial"/>
          <w:color w:val="000000"/>
          <w:sz w:val="19"/>
          <w:szCs w:val="19"/>
        </w:rPr>
        <w:t> </w:t>
      </w:r>
      <w:proofErr w:type="spellStart"/>
      <w:r w:rsidRPr="00DE0BD1">
        <w:rPr>
          <w:rFonts w:ascii="Arial" w:eastAsia="Times New Roman" w:hAnsi="Arial" w:cs="Arial"/>
          <w:color w:val="000000"/>
          <w:sz w:val="19"/>
          <w:szCs w:val="19"/>
        </w:rPr>
        <w:t>RealClearPolicy</w:t>
      </w:r>
      <w:proofErr w:type="spellEnd"/>
      <w:r w:rsidRPr="00DE0BD1">
        <w:rPr>
          <w:rFonts w:ascii="Arial" w:eastAsia="Times New Roman" w:hAnsi="Arial" w:cs="Arial"/>
          <w:color w:val="000000"/>
          <w:sz w:val="19"/>
          <w:szCs w:val="19"/>
        </w:rPr>
        <w:t xml:space="preserve"> March 3, 2021</w:t>
      </w:r>
    </w:p>
    <w:p w14:paraId="51FB1846" w14:textId="419AF807" w:rsidR="00DE0BD1" w:rsidRPr="00DE0BD1" w:rsidRDefault="00DE0BD1" w:rsidP="00DE0BD1">
      <w:pPr>
        <w:spacing w:after="0" w:line="192" w:lineRule="atLeast"/>
        <w:rPr>
          <w:rFonts w:ascii="Arial" w:eastAsia="Times New Roman" w:hAnsi="Arial" w:cs="Arial"/>
          <w:color w:val="000000"/>
          <w:szCs w:val="24"/>
        </w:rPr>
      </w:pPr>
      <w:r w:rsidRPr="00DE0BD1">
        <w:rPr>
          <w:rFonts w:ascii="Arial" w:eastAsia="Times New Roman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0E1E5CA4" wp14:editId="347FB8A4">
                <wp:extent cx="304800" cy="304800"/>
                <wp:effectExtent l="0" t="0" r="0" b="0"/>
                <wp:docPr id="1" name="Rectangle 1" descr="'Millionaires' Taxes' Will Set Back State Recover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E499A" id="Rectangle 1" o:spid="_x0000_s1026" alt="'Millionaires' Taxes' Will Set Back State Recoveri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uw5NsSAgAA&#10;AQQAAA4AAAAAAAAAAAAAAAAALgIAAGRycy9lMm9Eb2MueG1sUEsBAi0AFAAGAAgAAAAhAEyg6SzY&#10;AAAAAwEAAA8AAAAAAAAAAAAAAAAAbAQAAGRycy9kb3ducmV2LnhtbFBLBQYAAAAABAAEAPMAAABx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28DF1BA2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After a year of living with the COVID-19 pandemic, we’re finally seeing signs of hope, as more Americans get vaccinated. While most of us may return to something approaching normal soon, it will take longer for the pandemic-ravaged economy to recover.</w:t>
      </w:r>
    </w:p>
    <w:p w14:paraId="1233E667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Even as countless citizens and businesses are struggling, many state governments are faced with large deficits that hinder their ability to help. As a result, some, such as Massachusetts, are considering raising taxes on high-earners to generate revenue. But in its report, </w:t>
      </w:r>
      <w:hyperlink r:id="rId6" w:history="1">
        <w:r w:rsidRPr="00DE0BD1">
          <w:rPr>
            <w:rFonts w:ascii="Times New Roman" w:eastAsia="Times New Roman" w:hAnsi="Times New Roman" w:cs="Times New Roman"/>
            <w:color w:val="D30015"/>
            <w:szCs w:val="24"/>
            <w:u w:val="single"/>
          </w:rPr>
          <w:t>“Connecticut’s Dangerous Game: How the Nation’s Wealthiest State Scared Off Businesses and Worsened Its Financial Crisis,”</w:t>
        </w:r>
      </w:hyperlink>
      <w:r w:rsidRPr="00DE0BD1">
        <w:rPr>
          <w:rFonts w:ascii="Times New Roman" w:eastAsia="Times New Roman" w:hAnsi="Times New Roman" w:cs="Times New Roman"/>
          <w:color w:val="000000"/>
          <w:szCs w:val="24"/>
        </w:rPr>
        <w:t> the Boston-based Pioneer Institute provides a cautionary tale about the dangers of going down the path taken by the Bay State’s neighbor, Connecticut.</w:t>
      </w:r>
    </w:p>
    <w:p w14:paraId="6C1ABB02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Over the last quarter-century, Connecticut has endured a series of budget crises. To cover ballooning costs, the state enacted sharp tax increases, including four income-tax hikes in the last 20 years that raised the top rate by 77 percent.</w:t>
      </w:r>
    </w:p>
    <w:p w14:paraId="58852167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In recent years, Connecticut has increasingly relied on high-earners and large companies in a desperate effort to stabilize its state budget. In addition to income-tax hikes, the state doubled a surcharge on large firms and established and then increased a tax on luxury goods.</w:t>
      </w:r>
    </w:p>
    <w:p w14:paraId="065F58FE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 xml:space="preserve">The results have been the opposite of what state policymakers hoped. From 2008 to 2020, Connecticut ranked 49th among the states in private-sector wage growth. In recent years, </w:t>
      </w:r>
      <w:r w:rsidRPr="00DE0BD1">
        <w:rPr>
          <w:rFonts w:ascii="Times New Roman" w:eastAsia="Times New Roman" w:hAnsi="Times New Roman" w:cs="Times New Roman"/>
          <w:color w:val="000000"/>
          <w:szCs w:val="24"/>
        </w:rPr>
        <w:lastRenderedPageBreak/>
        <w:t>Connecticut stalwarts General Electric and Alexion Pharmaceuticals moved their headquarters to Massachusetts.</w:t>
      </w:r>
    </w:p>
    <w:p w14:paraId="12E5C352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The flight of jobs in turn affects homeowners. Even before COVID-19, property values in Fairfield County, home to a number of toney New York City bedroom communities and one of the wealthiest areas in the country, were 18 percent below their 2006 peak.</w:t>
      </w:r>
    </w:p>
    <w:p w14:paraId="1382D95D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After all that economic misery, the tax increases have failed to stabilize Connecticut’s finances. The state continues to project large deficits.</w:t>
      </w:r>
    </w:p>
    <w:p w14:paraId="1DD97D95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According to 2016 Connecticut Department of Revenue Services data, the state’s wealthiest 3 percent of families account for 41 percent of all income-tax revenue. Between 2012 and 2018, Connecticut lost high-earners at a rate trailing only Washington, D.C. On average, those who fled earned more than taxpayers who migrated into the state.</w:t>
      </w:r>
    </w:p>
    <w:p w14:paraId="3BB38AD5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As a result of the exodus, the amount of taxes paid by Connecticut’s 100 top taxpayers plummeted 45 percent between 2015 and 2016 alone, despite the tax-rate increases.</w:t>
      </w:r>
    </w:p>
    <w:p w14:paraId="71E1CEB7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To understand that Connecticut’s problems aren’t just a result of being an older northeastern state far from booming sun belt states in the South and West, one need only look to neighboring Massachusetts, hardly an anti-tax bastion. The Bay State took a different approach in the wake of its 1990-91 recession. A state income tax that was once 6.25 percent now stands at 5 percent.</w:t>
      </w:r>
    </w:p>
    <w:p w14:paraId="7EC42B4D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 xml:space="preserve">The results offer a sharp contrast with Connecticut. In recent years, Massachusetts has gained millionaires at a higher rate than the national average and nearly twice the rate of Connecticut. Between January 2008 and January 2020, employment in Massachusetts grew by 12.5 percent. In </w:t>
      </w:r>
      <w:r w:rsidRPr="00DE0BD1">
        <w:rPr>
          <w:rFonts w:ascii="Times New Roman" w:eastAsia="Times New Roman" w:hAnsi="Times New Roman" w:cs="Times New Roman"/>
          <w:color w:val="000000"/>
          <w:szCs w:val="24"/>
        </w:rPr>
        <w:lastRenderedPageBreak/>
        <w:t>contrast, Connecticut still hasn’t recovered all the jobs it lost during the Great Recession, and those it has created are lower-paying, on average.</w:t>
      </w:r>
    </w:p>
    <w:p w14:paraId="46BE2DAC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Wealth migration remains a concern in Massachusetts, though, which makes the state’s consideration of a so-called millionaires’ tax foolhardy. Fortunately, that would require an amendment to the state constitution to enact.</w:t>
      </w:r>
    </w:p>
    <w:p w14:paraId="08EAED57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It’s no coincidence that Connecticut’s economic woes corresponded with a string of tax hikes on high-earners and businesses. The simple reality is that leaving a state has never been easier. In some cases, high-earners can physically stay put and just move money into trusts located in other states.</w:t>
      </w:r>
    </w:p>
    <w:p w14:paraId="379FCB84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color w:val="000000"/>
          <w:szCs w:val="24"/>
        </w:rPr>
        <w:t>Connecticut’s travails in recent years, combined with the unprecedented mobility of wealth, makes it clear that millionaires’ taxes are a 20th-century solution to a 21st-century problem. Embracing them would only prolong states’ long-awaited recovery from the economic effects of COVID-19.</w:t>
      </w:r>
    </w:p>
    <w:p w14:paraId="084F678A" w14:textId="77777777" w:rsidR="00DE0BD1" w:rsidRPr="00DE0BD1" w:rsidRDefault="00DE0BD1" w:rsidP="00DE0BD1">
      <w:pPr>
        <w:spacing w:before="525" w:after="525" w:line="456" w:lineRule="atLeast"/>
        <w:rPr>
          <w:rFonts w:ascii="Times New Roman" w:eastAsia="Times New Roman" w:hAnsi="Times New Roman" w:cs="Times New Roman"/>
          <w:color w:val="000000"/>
          <w:szCs w:val="24"/>
        </w:rPr>
      </w:pPr>
      <w:r w:rsidRPr="00DE0BD1">
        <w:rPr>
          <w:rFonts w:ascii="Times New Roman" w:eastAsia="Times New Roman" w:hAnsi="Times New Roman" w:cs="Times New Roman"/>
          <w:i/>
          <w:iCs/>
          <w:color w:val="000000"/>
          <w:szCs w:val="24"/>
        </w:rPr>
        <w:t>Jim Stergios is executive director and Charles Chieppo is senior fellow at Pioneer Institute, a Boston-based think tank. </w:t>
      </w:r>
    </w:p>
    <w:p w14:paraId="00C286CD" w14:textId="77777777" w:rsidR="00544A58" w:rsidRDefault="00544A58"/>
    <w:sectPr w:rsidR="00544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D1"/>
    <w:rsid w:val="00544A58"/>
    <w:rsid w:val="00D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E741"/>
  <w15:chartTrackingRefBased/>
  <w15:docId w15:val="{EF58E18F-E722-42B5-8B06-6F7F134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0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B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E0B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E0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8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oneerinstitute.org/pioneer-research/economic-oppertunity/connecticuts-dangerous-game-how-the-nations-wealthiest-state-scared-off-businesses-and-worsened-its-fiscal-crisis/" TargetMode="External"/><Relationship Id="rId5" Type="http://schemas.openxmlformats.org/officeDocument/2006/relationships/hyperlink" Target="https://www.realclearpolicy.com/authors/charles_chieppo" TargetMode="External"/><Relationship Id="rId4" Type="http://schemas.openxmlformats.org/officeDocument/2006/relationships/hyperlink" Target="https://www.realclearpolicy.com/authors/jim_stergi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Chieppo</dc:creator>
  <cp:keywords/>
  <dc:description/>
  <cp:lastModifiedBy>Charles Chieppo</cp:lastModifiedBy>
  <cp:revision>1</cp:revision>
  <dcterms:created xsi:type="dcterms:W3CDTF">2021-03-03T17:00:00Z</dcterms:created>
  <dcterms:modified xsi:type="dcterms:W3CDTF">2021-03-03T17:01:00Z</dcterms:modified>
</cp:coreProperties>
</file>