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BDEB" w14:textId="77777777" w:rsidR="00DE0BD1" w:rsidRPr="00DE0BD1" w:rsidRDefault="00DE0BD1" w:rsidP="00DE0BD1">
      <w:pPr>
        <w:spacing w:before="100" w:beforeAutospacing="1" w:after="150" w:line="264" w:lineRule="atLeast"/>
        <w:outlineLvl w:val="0"/>
        <w:rPr>
          <w:rFonts w:ascii="Arial" w:eastAsia="Times New Roman" w:hAnsi="Arial" w:cs="Arial"/>
          <w:b/>
          <w:bCs/>
          <w:color w:val="EB2026"/>
          <w:kern w:val="36"/>
          <w:sz w:val="48"/>
          <w:szCs w:val="48"/>
        </w:rPr>
      </w:pPr>
      <w:r w:rsidRPr="00DE0BD1">
        <w:rPr>
          <w:rFonts w:ascii="Arial" w:eastAsia="Times New Roman" w:hAnsi="Arial" w:cs="Arial"/>
          <w:b/>
          <w:bCs/>
          <w:color w:val="EB2026"/>
          <w:kern w:val="36"/>
          <w:sz w:val="48"/>
          <w:szCs w:val="48"/>
        </w:rPr>
        <w:t>'Millionaires' Taxes' Will Set Back State Recoveries</w:t>
      </w:r>
    </w:p>
    <w:p w14:paraId="2586BF02" w14:textId="77777777" w:rsidR="00DE0BD1" w:rsidRPr="00DE0BD1" w:rsidRDefault="00DE0BD1" w:rsidP="00DE0BD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4" w:history="1">
        <w:r w:rsidRPr="00DE0BD1">
          <w:rPr>
            <w:rFonts w:ascii="Arial" w:eastAsia="Times New Roman" w:hAnsi="Arial" w:cs="Arial"/>
            <w:color w:val="919191"/>
            <w:sz w:val="19"/>
            <w:szCs w:val="19"/>
            <w:u w:val="single"/>
          </w:rPr>
          <w:t>Jim Stergios</w:t>
        </w:r>
      </w:hyperlink>
      <w:r w:rsidRPr="00DE0BD1">
        <w:rPr>
          <w:rFonts w:ascii="Arial" w:eastAsia="Times New Roman" w:hAnsi="Arial" w:cs="Arial"/>
          <w:color w:val="000000"/>
          <w:sz w:val="19"/>
          <w:szCs w:val="19"/>
        </w:rPr>
        <w:t> &amp; </w:t>
      </w:r>
      <w:hyperlink r:id="rId5" w:history="1">
        <w:r w:rsidRPr="00DE0BD1">
          <w:rPr>
            <w:rFonts w:ascii="Arial" w:eastAsia="Times New Roman" w:hAnsi="Arial" w:cs="Arial"/>
            <w:color w:val="919191"/>
            <w:sz w:val="19"/>
            <w:szCs w:val="19"/>
            <w:u w:val="single"/>
          </w:rPr>
          <w:t>Charles Chieppo</w:t>
        </w:r>
      </w:hyperlink>
      <w:r w:rsidRPr="00DE0BD1">
        <w:rPr>
          <w:rFonts w:ascii="Arial" w:eastAsia="Times New Roman" w:hAnsi="Arial" w:cs="Arial"/>
          <w:color w:val="000000"/>
          <w:sz w:val="19"/>
          <w:szCs w:val="19"/>
        </w:rPr>
        <w:t> </w:t>
      </w:r>
      <w:proofErr w:type="spellStart"/>
      <w:r w:rsidRPr="00DE0BD1">
        <w:rPr>
          <w:rFonts w:ascii="Arial" w:eastAsia="Times New Roman" w:hAnsi="Arial" w:cs="Arial"/>
          <w:color w:val="000000"/>
          <w:sz w:val="19"/>
          <w:szCs w:val="19"/>
        </w:rPr>
        <w:t>RealClearPolicy</w:t>
      </w:r>
      <w:proofErr w:type="spellEnd"/>
      <w:r w:rsidRPr="00DE0BD1">
        <w:rPr>
          <w:rFonts w:ascii="Arial" w:eastAsia="Times New Roman" w:hAnsi="Arial" w:cs="Arial"/>
          <w:color w:val="000000"/>
          <w:sz w:val="19"/>
          <w:szCs w:val="19"/>
        </w:rPr>
        <w:t xml:space="preserve"> March 3, 2021</w:t>
      </w:r>
    </w:p>
    <w:p w14:paraId="51FB1846" w14:textId="419AF807" w:rsidR="00DE0BD1" w:rsidRPr="00DE0BD1" w:rsidRDefault="00DE0BD1" w:rsidP="00DE0BD1">
      <w:pPr>
        <w:spacing w:after="0" w:line="192" w:lineRule="atLeast"/>
        <w:rPr>
          <w:rFonts w:ascii="Arial" w:eastAsia="Times New Roman" w:hAnsi="Arial" w:cs="Arial"/>
          <w:color w:val="000000"/>
          <w:szCs w:val="24"/>
        </w:rPr>
      </w:pPr>
      <w:r w:rsidRPr="00DE0BD1">
        <w:rPr>
          <w:rFonts w:ascii="Arial" w:eastAsia="Times New Roman" w:hAnsi="Arial" w:cs="Arial"/>
          <w:noProof/>
          <w:color w:val="000000"/>
          <w:szCs w:val="24"/>
        </w:rPr>
        <mc:AlternateContent>
          <mc:Choice Requires="wps">
            <w:drawing>
              <wp:inline distT="0" distB="0" distL="0" distR="0" wp14:anchorId="0E1E5CA4" wp14:editId="347FB8A4">
                <wp:extent cx="304800" cy="304800"/>
                <wp:effectExtent l="0" t="0" r="0" b="0"/>
                <wp:docPr id="1" name="Rectangle 1" descr="'Millionaires' Taxes' Will Set Back State Recover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3E499A" id="Rectangle 1" o:spid="_x0000_s1026" alt="'Millionaires' Taxes' Will Set Back State Recoveri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uw5NsSAgAA&#10;AQQAAA4AAAAAAAAAAAAAAAAALgIAAGRycy9lMm9Eb2MueG1sUEsBAi0AFAAGAAgAAAAhAEyg6SzY&#10;AAAAAwEAAA8AAAAAAAAAAAAAAAAAbAQAAGRycy9kb3ducmV2LnhtbFBLBQYAAAAABAAEAPMAAABx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28DF1BA2" w14:textId="77777777" w:rsidR="00DE0BD1" w:rsidRPr="00DE0BD1" w:rsidRDefault="00DE0BD1" w:rsidP="00DE0BD1">
      <w:pPr>
        <w:spacing w:before="525" w:after="525" w:line="456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DE0BD1">
        <w:rPr>
          <w:rFonts w:ascii="Times New Roman" w:eastAsia="Times New Roman" w:hAnsi="Times New Roman" w:cs="Times New Roman"/>
          <w:color w:val="000000"/>
          <w:szCs w:val="24"/>
        </w:rPr>
        <w:t>After a year of living with the COVID-19 pandemic, we’re finally seeing signs of hope, as more Americans get vaccinated. While most of us may return to something approaching normal soon, it will take longer for the pandemic-ravaged economy to recover.</w:t>
      </w:r>
    </w:p>
    <w:p w14:paraId="1233E667" w14:textId="77777777" w:rsidR="00DE0BD1" w:rsidRPr="00DE0BD1" w:rsidRDefault="00DE0BD1" w:rsidP="00DE0BD1">
      <w:pPr>
        <w:spacing w:before="525" w:after="525" w:line="456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DE0BD1">
        <w:rPr>
          <w:rFonts w:ascii="Times New Roman" w:eastAsia="Times New Roman" w:hAnsi="Times New Roman" w:cs="Times New Roman"/>
          <w:color w:val="000000"/>
          <w:szCs w:val="24"/>
        </w:rPr>
        <w:t>Even as countless citizens and businesses are struggling, many state governments are faced with large deficits that hinder their ability to help. As a result, some, such as Massachusetts, are considering raising taxes on high-earners to generate revenue. But in its report, </w:t>
      </w:r>
      <w:hyperlink r:id="rId6" w:history="1">
        <w:r w:rsidRPr="00DE0BD1">
          <w:rPr>
            <w:rFonts w:ascii="Times New Roman" w:eastAsia="Times New Roman" w:hAnsi="Times New Roman" w:cs="Times New Roman"/>
            <w:color w:val="D30015"/>
            <w:szCs w:val="24"/>
            <w:u w:val="single"/>
          </w:rPr>
          <w:t>“Connecticut’s Dangerous Game: How the Nation’s Wealthiest State Scared Off Businesses and Worsened Its Financial Crisis,”</w:t>
        </w:r>
      </w:hyperlink>
      <w:r w:rsidRPr="00DE0BD1">
        <w:rPr>
          <w:rFonts w:ascii="Times New Roman" w:eastAsia="Times New Roman" w:hAnsi="Times New Roman" w:cs="Times New Roman"/>
          <w:color w:val="000000"/>
          <w:szCs w:val="24"/>
        </w:rPr>
        <w:t> the Boston-based Pioneer Institute provides a cautionary tale about the dangers of going down the path taken by the Bay State’s neighbor, Connecticut.</w:t>
      </w:r>
    </w:p>
    <w:p w14:paraId="6C1ABB02" w14:textId="77777777" w:rsidR="00DE0BD1" w:rsidRPr="00DE0BD1" w:rsidRDefault="00DE0BD1" w:rsidP="00DE0BD1">
      <w:pPr>
        <w:spacing w:before="525" w:after="525" w:line="456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DE0BD1">
        <w:rPr>
          <w:rFonts w:ascii="Times New Roman" w:eastAsia="Times New Roman" w:hAnsi="Times New Roman" w:cs="Times New Roman"/>
          <w:color w:val="000000"/>
          <w:szCs w:val="24"/>
        </w:rPr>
        <w:t>Over the last quarter-century, Connecticut has endured a series of budget crises. To cover ballooning costs, the state enacted sharp tax increases, including four income-tax hikes in the last 20 years that raised the top rate by 77 percent.</w:t>
      </w:r>
    </w:p>
    <w:p w14:paraId="58852167" w14:textId="77777777" w:rsidR="00DE0BD1" w:rsidRPr="00DE0BD1" w:rsidRDefault="00DE0BD1" w:rsidP="00DE0BD1">
      <w:pPr>
        <w:spacing w:before="525" w:after="525" w:line="456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DE0BD1">
        <w:rPr>
          <w:rFonts w:ascii="Times New Roman" w:eastAsia="Times New Roman" w:hAnsi="Times New Roman" w:cs="Times New Roman"/>
          <w:color w:val="000000"/>
          <w:szCs w:val="24"/>
        </w:rPr>
        <w:t>In recent years, Connecticut has increasingly relied on high-earners and large companies in a desperate effort to stabilize its state budget. In addition to income-tax hikes, the state doubled a surcharge on large firms and established and then increased a tax on luxury goods.</w:t>
      </w:r>
    </w:p>
    <w:p w14:paraId="065F58FE" w14:textId="77777777" w:rsidR="00DE0BD1" w:rsidRPr="00DE0BD1" w:rsidRDefault="00DE0BD1" w:rsidP="00DE0BD1">
      <w:pPr>
        <w:spacing w:before="525" w:after="525" w:line="456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DE0BD1">
        <w:rPr>
          <w:rFonts w:ascii="Times New Roman" w:eastAsia="Times New Roman" w:hAnsi="Times New Roman" w:cs="Times New Roman"/>
          <w:color w:val="000000"/>
          <w:szCs w:val="24"/>
        </w:rPr>
        <w:t xml:space="preserve">The results have been the opposite of what state policymakers hoped. From 2008 to 2020, Connecticut ranked 49th among the states in private-sector wage growth. In recent years, </w:t>
      </w:r>
      <w:r w:rsidRPr="00DE0BD1">
        <w:rPr>
          <w:rFonts w:ascii="Times New Roman" w:eastAsia="Times New Roman" w:hAnsi="Times New Roman" w:cs="Times New Roman"/>
          <w:color w:val="000000"/>
          <w:szCs w:val="24"/>
        </w:rPr>
        <w:lastRenderedPageBreak/>
        <w:t>Connecticut stalwarts General Electric and Alexion Pharmaceuticals moved their headquarters to Massachusetts.</w:t>
      </w:r>
    </w:p>
    <w:p w14:paraId="12E5C352" w14:textId="77777777" w:rsidR="00DE0BD1" w:rsidRPr="00DE0BD1" w:rsidRDefault="00DE0BD1" w:rsidP="00DE0BD1">
      <w:pPr>
        <w:spacing w:before="525" w:after="525" w:line="456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DE0BD1">
        <w:rPr>
          <w:rFonts w:ascii="Times New Roman" w:eastAsia="Times New Roman" w:hAnsi="Times New Roman" w:cs="Times New Roman"/>
          <w:color w:val="000000"/>
          <w:szCs w:val="24"/>
        </w:rPr>
        <w:t>The flight of jobs in turn affects homeowners. Even before COVID-19, property values in Fairfield County, home to a number of toney New York City bedroom communities and one of the wealthiest areas in the country, were 18 percent below their 2006 peak.</w:t>
      </w:r>
    </w:p>
    <w:p w14:paraId="1382D95D" w14:textId="77777777" w:rsidR="00DE0BD1" w:rsidRPr="00DE0BD1" w:rsidRDefault="00DE0BD1" w:rsidP="00DE0BD1">
      <w:pPr>
        <w:spacing w:before="525" w:after="525" w:line="456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DE0BD1">
        <w:rPr>
          <w:rFonts w:ascii="Times New Roman" w:eastAsia="Times New Roman" w:hAnsi="Times New Roman" w:cs="Times New Roman"/>
          <w:color w:val="000000"/>
          <w:szCs w:val="24"/>
        </w:rPr>
        <w:t>After all that economic misery, the tax increases have failed to stabilize Connecticut’s finances. The state continues to project large deficits.</w:t>
      </w:r>
    </w:p>
    <w:p w14:paraId="1DD97D95" w14:textId="77777777" w:rsidR="00DE0BD1" w:rsidRPr="00DE0BD1" w:rsidRDefault="00DE0BD1" w:rsidP="00DE0BD1">
      <w:pPr>
        <w:spacing w:before="525" w:after="525" w:line="456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DE0BD1">
        <w:rPr>
          <w:rFonts w:ascii="Times New Roman" w:eastAsia="Times New Roman" w:hAnsi="Times New Roman" w:cs="Times New Roman"/>
          <w:color w:val="000000"/>
          <w:szCs w:val="24"/>
        </w:rPr>
        <w:t>According to 2016 Connecticut Department of Revenue Services data, the state’s wealthiest 3 percent of families account for 41 percent of all income-tax revenue. Between 2012 and 2018, Connecticut lost high-earners at a rate trailing only Washington, D.C. On average, those who fled earned more than taxpayers who migrated into the state.</w:t>
      </w:r>
    </w:p>
    <w:p w14:paraId="3BB38AD5" w14:textId="77777777" w:rsidR="00DE0BD1" w:rsidRPr="00DE0BD1" w:rsidRDefault="00DE0BD1" w:rsidP="00DE0BD1">
      <w:pPr>
        <w:spacing w:before="525" w:after="525" w:line="456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DE0BD1">
        <w:rPr>
          <w:rFonts w:ascii="Times New Roman" w:eastAsia="Times New Roman" w:hAnsi="Times New Roman" w:cs="Times New Roman"/>
          <w:color w:val="000000"/>
          <w:szCs w:val="24"/>
        </w:rPr>
        <w:t>As a result of the exodus, the amount of taxes paid by Connecticut’s 100 top taxpayers plummeted 45 percent between 2015 and 2016 alone, despite the tax-rate increases.</w:t>
      </w:r>
    </w:p>
    <w:p w14:paraId="71E1CEB7" w14:textId="77777777" w:rsidR="00DE0BD1" w:rsidRPr="00DE0BD1" w:rsidRDefault="00DE0BD1" w:rsidP="00DE0BD1">
      <w:pPr>
        <w:spacing w:before="525" w:after="525" w:line="456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DE0BD1">
        <w:rPr>
          <w:rFonts w:ascii="Times New Roman" w:eastAsia="Times New Roman" w:hAnsi="Times New Roman" w:cs="Times New Roman"/>
          <w:color w:val="000000"/>
          <w:szCs w:val="24"/>
        </w:rPr>
        <w:t>To understand that Connecticut’s problems aren’t just a result of being an older northeastern state far from booming sun belt states in the South and West, one need only look to neighboring Massachusetts, hardly an anti-tax bastion. The Bay State took a different approach in the wake of its 1990-91 recession. A state income tax that was once 6.25 percent now stands at 5 percent.</w:t>
      </w:r>
    </w:p>
    <w:p w14:paraId="7EC42B4D" w14:textId="77777777" w:rsidR="00DE0BD1" w:rsidRPr="00DE0BD1" w:rsidRDefault="00DE0BD1" w:rsidP="00DE0BD1">
      <w:pPr>
        <w:spacing w:before="525" w:after="525" w:line="456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DE0BD1">
        <w:rPr>
          <w:rFonts w:ascii="Times New Roman" w:eastAsia="Times New Roman" w:hAnsi="Times New Roman" w:cs="Times New Roman"/>
          <w:color w:val="000000"/>
          <w:szCs w:val="24"/>
        </w:rPr>
        <w:t xml:space="preserve">The results offer a sharp contrast with Connecticut. In recent years, Massachusetts has gained millionaires at a higher rate than the national average and nearly twice the rate of Connecticut. Between January 2008 and January 2020, employment in Massachusetts grew by 12.5 percent. In </w:t>
      </w:r>
      <w:r w:rsidRPr="00DE0BD1">
        <w:rPr>
          <w:rFonts w:ascii="Times New Roman" w:eastAsia="Times New Roman" w:hAnsi="Times New Roman" w:cs="Times New Roman"/>
          <w:color w:val="000000"/>
          <w:szCs w:val="24"/>
        </w:rPr>
        <w:lastRenderedPageBreak/>
        <w:t>contrast, Connecticut still hasn’t recovered all the jobs it lost during the Great Recession, and those it has created are lower-paying, on average.</w:t>
      </w:r>
    </w:p>
    <w:p w14:paraId="46BE2DAC" w14:textId="77777777" w:rsidR="00DE0BD1" w:rsidRPr="00DE0BD1" w:rsidRDefault="00DE0BD1" w:rsidP="00DE0BD1">
      <w:pPr>
        <w:spacing w:before="525" w:after="525" w:line="456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DE0BD1">
        <w:rPr>
          <w:rFonts w:ascii="Times New Roman" w:eastAsia="Times New Roman" w:hAnsi="Times New Roman" w:cs="Times New Roman"/>
          <w:color w:val="000000"/>
          <w:szCs w:val="24"/>
        </w:rPr>
        <w:t>Wealth migration remains a concern in Massachusetts, though, which makes the state’s consideration of a so-called millionaires’ tax foolhardy. Fortunately, that would require an amendment to the state constitution to enact.</w:t>
      </w:r>
    </w:p>
    <w:p w14:paraId="08EAED57" w14:textId="77777777" w:rsidR="00DE0BD1" w:rsidRPr="00DE0BD1" w:rsidRDefault="00DE0BD1" w:rsidP="00DE0BD1">
      <w:pPr>
        <w:spacing w:before="525" w:after="525" w:line="456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DE0BD1">
        <w:rPr>
          <w:rFonts w:ascii="Times New Roman" w:eastAsia="Times New Roman" w:hAnsi="Times New Roman" w:cs="Times New Roman"/>
          <w:color w:val="000000"/>
          <w:szCs w:val="24"/>
        </w:rPr>
        <w:t>It’s no coincidence that Connecticut’s economic woes corresponded with a string of tax hikes on high-earners and businesses. The simple reality is that leaving a state has never been easier. In some cases, high-earners can physically stay put and just move money into trusts located in other states.</w:t>
      </w:r>
    </w:p>
    <w:p w14:paraId="379FCB84" w14:textId="77777777" w:rsidR="00DE0BD1" w:rsidRPr="00DE0BD1" w:rsidRDefault="00DE0BD1" w:rsidP="00DE0BD1">
      <w:pPr>
        <w:spacing w:before="525" w:after="525" w:line="456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DE0BD1">
        <w:rPr>
          <w:rFonts w:ascii="Times New Roman" w:eastAsia="Times New Roman" w:hAnsi="Times New Roman" w:cs="Times New Roman"/>
          <w:color w:val="000000"/>
          <w:szCs w:val="24"/>
        </w:rPr>
        <w:t>Connecticut’s travails in recent years, combined with the unprecedented mobility of wealth, makes it clear that millionaires’ taxes are a 20th-century solution to a 21st-century problem. Embracing them would only prolong states’ long-awaited recovery from the economic effects of COVID-19.</w:t>
      </w:r>
    </w:p>
    <w:p w14:paraId="084F678A" w14:textId="77777777" w:rsidR="00DE0BD1" w:rsidRPr="00DE0BD1" w:rsidRDefault="00DE0BD1" w:rsidP="00DE0BD1">
      <w:pPr>
        <w:spacing w:before="525" w:after="525" w:line="456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DE0BD1">
        <w:rPr>
          <w:rFonts w:ascii="Times New Roman" w:eastAsia="Times New Roman" w:hAnsi="Times New Roman" w:cs="Times New Roman"/>
          <w:i/>
          <w:iCs/>
          <w:color w:val="000000"/>
          <w:szCs w:val="24"/>
        </w:rPr>
        <w:t>Jim Stergios is executive director and Charles Chieppo is senior fellow at Pioneer Institute, a Boston-based think tank. </w:t>
      </w:r>
    </w:p>
    <w:p w14:paraId="00C286CD" w14:textId="77777777" w:rsidR="00544A58" w:rsidRDefault="00544A58"/>
    <w:sectPr w:rsidR="0054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D1"/>
    <w:rsid w:val="00544A58"/>
    <w:rsid w:val="00D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E741"/>
  <w15:chartTrackingRefBased/>
  <w15:docId w15:val="{EF58E18F-E722-42B5-8B06-6F7F134B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B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E0B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DE0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8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oneerinstitute.org/pioneer-research/economic-oppertunity/connecticuts-dangerous-game-how-the-nations-wealthiest-state-scared-off-businesses-and-worsened-its-fiscal-crisis/" TargetMode="External"/><Relationship Id="rId5" Type="http://schemas.openxmlformats.org/officeDocument/2006/relationships/hyperlink" Target="https://www.realclearpolicy.com/authors/charles_chieppo" TargetMode="External"/><Relationship Id="rId4" Type="http://schemas.openxmlformats.org/officeDocument/2006/relationships/hyperlink" Target="https://www.realclearpolicy.com/authors/jim_stergi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Chieppo</dc:creator>
  <cp:keywords/>
  <dc:description/>
  <cp:lastModifiedBy>Charles Chieppo</cp:lastModifiedBy>
  <cp:revision>1</cp:revision>
  <dcterms:created xsi:type="dcterms:W3CDTF">2021-03-03T17:00:00Z</dcterms:created>
  <dcterms:modified xsi:type="dcterms:W3CDTF">2021-03-03T17:01:00Z</dcterms:modified>
</cp:coreProperties>
</file>